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883" w:leader="none"/>
        </w:tabs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Информация</w:t>
      </w:r>
    </w:p>
    <w:p>
      <w:pPr>
        <w:pStyle w:val="Normal"/>
        <w:tabs>
          <w:tab w:val="clear" w:pos="708"/>
          <w:tab w:val="left" w:pos="7883" w:leader="none"/>
        </w:tabs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о деятельности Контрольно - счетной палаты </w:t>
      </w:r>
    </w:p>
    <w:p>
      <w:pPr>
        <w:pStyle w:val="Normal"/>
        <w:tabs>
          <w:tab w:val="clear" w:pos="708"/>
          <w:tab w:val="left" w:pos="7883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Высокогорского муниципального района за 2024</w:t>
      </w:r>
      <w:r>
        <w:rPr>
          <w:b w:val="false"/>
          <w:bCs w:val="false"/>
          <w:sz w:val="28"/>
          <w:szCs w:val="28"/>
        </w:rPr>
        <w:t xml:space="preserve">  </w:t>
      </w:r>
    </w:p>
    <w:p>
      <w:pPr>
        <w:pStyle w:val="Normal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10317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670"/>
        <w:gridCol w:w="1646"/>
      </w:tblGrid>
      <w:tr>
        <w:trPr>
          <w:tblHeader w:val="true"/>
          <w:trHeight w:val="308" w:hRule="atLeast"/>
        </w:trPr>
        <w:tc>
          <w:tcPr>
            <w:tcW w:w="8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6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86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firstLine="7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Контрольно-ревизионная деятельность</w:t>
            </w:r>
          </w:p>
        </w:tc>
        <w:tc>
          <w:tcPr>
            <w:tcW w:w="164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проведенных контрольных мероприятий (ед.)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объем финансовых нарушений, всего (кол-во/тыс.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 2500,0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нарушения при формировании и исполнении бюджетов (кол-во/тыс.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2/200 т.р.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нарушения при распоряжении и использовании государственной (муниципальной) собственности (кол-во/тыс.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 1310,0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нарушения при осуществлении государственных (муниципальных) закупок (кол-во/тыс.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нецелевое использование бюджетных средств (кол-во/тыс.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нарушения ведения бухгалтерского учета, составления и представления бухгалтерской (финансовой) отчетности (кол-во/тыс.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2/190т.р.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прочие нарушения (кол-во/тыс.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11/800 т.р.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Кроме этого установлено: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неэффективное использование бюджетных средств (тыс.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Экспертно-аналитическая деятельность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экспертно-аналитических мероприятий (ед.)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экспертиз проектов нормативных правовых актов (ед.)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 Реализация результатов контрольных и экспертно-аналитических мероприятий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мер и восстановлено средств в бюджет, всего (тыс.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2440,0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восстановлено в бюджет (тыс.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2050,0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Реализация полномочия по составлению протоколов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административных правонарушениях в области бюджетного законодательства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протоколов (шт.)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наложенных штрафов (тыс. руб.)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 Численность сотрудников контрольно-счетной палаты и среднемесячная заработная плата председателя контрольно-счетной палаты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сотрудников, всего (ед.)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 штату (ед.)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 договорной основе (ед.)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28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41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074d0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qFormat/>
    <w:rsid w:val="00074d04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CE0C-8B35-49BE-BE4B-6C390C6D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LibreOffice/7.5.6.2$Linux_X86_64 LibreOffice_project/50$Build-2</Application>
  <AppVersion>15.0000</AppVersion>
  <Pages>1</Pages>
  <Words>211</Words>
  <Characters>1582</Characters>
  <CharactersWithSpaces>1748</CharactersWithSpaces>
  <Paragraphs>48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2024-02-27T06:07:00Z</dcterms:created>
  <dc:creator>User</dc:creator>
  <dc:description/>
  <dc:language>ru-RU</dc:language>
  <cp:lastModifiedBy/>
  <cp:lastPrinted>2024-02-27T06:08:00Z</cp:lastPrinted>
  <dcterms:modified xsi:type="dcterms:W3CDTF">2025-01-13T09:04:08Z</dcterms:modified>
  <cp:revision>19</cp:revision>
  <dc:subject/>
  <dc:title>От 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